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</w:rPr>
        <w:t>附件1</w:t>
      </w:r>
    </w:p>
    <w:bookmarkEnd w:id="0"/>
    <w:p>
      <w:pPr>
        <w:rPr>
          <w:rFonts w:ascii="Times New Roman" w:hAnsi="Times New Roman" w:eastAsia="仿宋_GB2312"/>
          <w:sz w:val="32"/>
        </w:rPr>
      </w:pPr>
    </w:p>
    <w:p>
      <w:pPr>
        <w:ind w:right="-59" w:rightChars="-2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ind w:right="-59" w:rightChars="-2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专项任务项目清单</w:t>
      </w:r>
    </w:p>
    <w:p>
      <w:pPr>
        <w:ind w:right="-59" w:rightChars="-28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4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大学生体质健康最新发展动向、提升路径、方法和手段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学校体育教学改革试点指标的组成、分析及研究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从高校的人才培养、科学研究、社会服务、国际文化交流来规划构建足球学院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4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从“满天星”训练营到新型足球学校的理论分析与行动方案设计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5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不同学段学校健康教育重点与分领域实施研究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6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大学生健康体检的管理机制研究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7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高校公共艺术课程建设目标、重点、难点、路径、举措研究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8</w:t>
            </w:r>
          </w:p>
        </w:tc>
        <w:tc>
          <w:tcPr>
            <w:tcW w:w="8434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艺术课程评价内容、评价方式、评价结果、评价应用研究</w:t>
            </w:r>
          </w:p>
        </w:tc>
      </w:tr>
    </w:tbl>
    <w:p>
      <w:pPr>
        <w:spacing w:before="156" w:beforeLines="50"/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备注：申报单位各项目限报1项，总数不超过8项。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E0022"/>
    <w:rsid w:val="089F4089"/>
    <w:rsid w:val="447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2022-07-01T02:54:00Z</dcterms:created>
  <dc:creator>李鹏飞</dc:creator>
  <cp:lastModifiedBy>李鹏飞</cp:lastModifiedBy>
  <dcterms:modified xsi:type="dcterms:W3CDTF">2022-07-01T02:55:04Z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654DF2AE592C42699A7AF2732994B6BA</vt:lpwstr>
  </property>
</Properties>
</file>